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 w:line="232" w:lineRule="auto"/>
        <w:ind w:left="2464" w:right="250" w:hanging="2008"/>
        <w:jc w:val="left"/>
        <w:rPr>
          <w:rFonts w:hint="eastAsia" w:ascii="宋体" w:hAnsi="宋体" w:eastAsia="宋体"/>
          <w:b/>
          <w:sz w:val="40"/>
        </w:rPr>
      </w:pPr>
      <w:r>
        <w:rPr>
          <w:rFonts w:hint="eastAsia" w:ascii="宋体" w:hAnsi="宋体" w:eastAsia="宋体"/>
          <w:b/>
          <w:sz w:val="40"/>
        </w:rPr>
        <w:t>中国精协“第一期孤独症服务机构自强自律创建活动”复评要求</w:t>
      </w:r>
      <w:r>
        <w:rPr>
          <w:rFonts w:hint="eastAsia" w:ascii="宋体" w:hAnsi="宋体" w:eastAsia="宋体"/>
          <w:b/>
          <w:w w:val="98"/>
          <w:sz w:val="40"/>
        </w:rPr>
        <w:t xml:space="preserve"> </w:t>
      </w:r>
    </w:p>
    <w:p>
      <w:pPr>
        <w:pStyle w:val="3"/>
        <w:spacing w:before="3"/>
        <w:ind w:left="0" w:firstLine="0"/>
        <w:jc w:val="left"/>
        <w:rPr>
          <w:rFonts w:ascii="宋体"/>
          <w:b/>
          <w:sz w:val="54"/>
        </w:rPr>
      </w:pPr>
    </w:p>
    <w:p>
      <w:pPr>
        <w:pStyle w:val="3"/>
        <w:spacing w:line="364" w:lineRule="auto"/>
        <w:ind w:right="107" w:firstLine="422"/>
      </w:pPr>
      <w:r>
        <w:t>中国精协第一期孤独症服务机构自强自律创建活动的复评工作，依据第一期孤独症服务机构自强自律创建活动</w:t>
      </w:r>
      <w:r>
        <w:rPr>
          <w:rFonts w:hint="eastAsia"/>
          <w:lang w:val="en-US" w:eastAsia="zh-CN"/>
        </w:rPr>
        <w:t>扶持</w:t>
      </w:r>
      <w:r>
        <w:t>机构的工作开展情况、社会组织等级评估等级、是否为残联定点机构为依据进行基本考量，结合各地主管部门的推荐、各地孤独症家长工作站、专家委员会、公众参与意见进行评审。</w:t>
      </w:r>
    </w:p>
    <w:p>
      <w:pPr>
        <w:pStyle w:val="2"/>
        <w:spacing w:before="3"/>
        <w:ind w:left="543"/>
      </w:pPr>
      <w:r>
        <w:t>1、复评对象</w:t>
      </w:r>
    </w:p>
    <w:p>
      <w:pPr>
        <w:pStyle w:val="3"/>
        <w:spacing w:before="163" w:line="364" w:lineRule="auto"/>
        <w:ind w:right="59" w:firstLine="422"/>
        <w:jc w:val="left"/>
      </w:pPr>
      <w:r>
        <w:t>第一期全部（108 家）孤独症服务机构自强自律创建机构（名单见资料下载包）。</w:t>
      </w:r>
    </w:p>
    <w:p>
      <w:pPr>
        <w:pStyle w:val="2"/>
        <w:spacing w:before="2"/>
        <w:ind w:left="543"/>
      </w:pPr>
      <w:r>
        <w:t>2、评审流程</w:t>
      </w:r>
    </w:p>
    <w:p>
      <w:pPr>
        <w:pStyle w:val="7"/>
        <w:numPr>
          <w:ilvl w:val="0"/>
          <w:numId w:val="1"/>
        </w:numPr>
        <w:tabs>
          <w:tab w:val="left" w:pos="1172"/>
        </w:tabs>
        <w:spacing w:before="158" w:after="0" w:line="367" w:lineRule="auto"/>
        <w:ind w:left="120" w:right="117" w:firstLine="427"/>
        <w:jc w:val="both"/>
        <w:rPr>
          <w:sz w:val="24"/>
        </w:rPr>
      </w:pPr>
      <w:r>
        <w:rPr>
          <w:b/>
          <w:color w:val="0D0D0D"/>
          <w:spacing w:val="5"/>
          <w:sz w:val="24"/>
        </w:rPr>
        <w:t xml:space="preserve">下载资料 </w:t>
      </w:r>
      <w:r>
        <w:rPr>
          <w:color w:val="0D0D0D"/>
          <w:spacing w:val="4"/>
          <w:sz w:val="24"/>
        </w:rPr>
        <w:t>在中国精协官网</w:t>
      </w:r>
      <w:r>
        <w:rPr>
          <w:rFonts w:hint="eastAsia"/>
          <w:color w:val="0D0D0D"/>
          <w:spacing w:val="4"/>
          <w:sz w:val="24"/>
          <w:lang w:val="en-US" w:eastAsia="zh-CN"/>
        </w:rPr>
        <w:t>自强自律创建专区</w:t>
      </w:r>
      <w:r>
        <w:rPr>
          <w:color w:val="0D0D0D"/>
          <w:spacing w:val="4"/>
          <w:sz w:val="24"/>
        </w:rPr>
        <w:t>下载所有评估资料，并认真理解资料意思</w:t>
      </w:r>
      <w:r>
        <w:rPr>
          <w:color w:val="0D0D0D"/>
          <w:sz w:val="24"/>
        </w:rPr>
        <w:t>及要求。</w:t>
      </w:r>
    </w:p>
    <w:p>
      <w:pPr>
        <w:pStyle w:val="7"/>
        <w:numPr>
          <w:ilvl w:val="0"/>
          <w:numId w:val="1"/>
        </w:numPr>
        <w:tabs>
          <w:tab w:val="left" w:pos="1172"/>
        </w:tabs>
        <w:spacing w:before="0" w:after="0" w:line="367" w:lineRule="auto"/>
        <w:ind w:left="120" w:right="117" w:firstLine="427"/>
        <w:jc w:val="both"/>
        <w:rPr>
          <w:sz w:val="24"/>
        </w:rPr>
      </w:pPr>
      <w:r>
        <w:rPr>
          <w:b/>
          <w:color w:val="0D0D0D"/>
          <w:spacing w:val="5"/>
          <w:sz w:val="24"/>
        </w:rPr>
        <w:t xml:space="preserve">复评申请 </w:t>
      </w:r>
      <w:r>
        <w:rPr>
          <w:color w:val="0D0D0D"/>
          <w:spacing w:val="4"/>
          <w:sz w:val="24"/>
        </w:rPr>
        <w:t>拟参与复评的机构提出复评申请，填写申报表（复评申报</w:t>
      </w:r>
      <w:r>
        <w:rPr>
          <w:color w:val="0D0D0D"/>
          <w:sz w:val="24"/>
        </w:rPr>
        <w:t>表见下载资料包）。</w:t>
      </w:r>
    </w:p>
    <w:p>
      <w:pPr>
        <w:pStyle w:val="7"/>
        <w:numPr>
          <w:ilvl w:val="0"/>
          <w:numId w:val="1"/>
        </w:numPr>
        <w:tabs>
          <w:tab w:val="left" w:pos="1154"/>
        </w:tabs>
        <w:spacing w:before="0" w:after="0" w:line="364" w:lineRule="auto"/>
        <w:ind w:left="120" w:right="107" w:firstLine="427"/>
        <w:jc w:val="both"/>
        <w:rPr>
          <w:sz w:val="24"/>
        </w:rPr>
      </w:pPr>
      <w:r>
        <w:rPr>
          <w:b/>
          <w:color w:val="0D0D0D"/>
          <w:sz w:val="24"/>
        </w:rPr>
        <w:t xml:space="preserve">资料准备与提交评估材料 </w:t>
      </w:r>
      <w:r>
        <w:rPr>
          <w:color w:val="0D0D0D"/>
          <w:spacing w:val="-16"/>
          <w:sz w:val="24"/>
        </w:rPr>
        <w:t>于</w:t>
      </w:r>
      <w:r>
        <w:rPr>
          <w:color w:val="0D0D0D"/>
          <w:sz w:val="24"/>
        </w:rPr>
        <w:t xml:space="preserve"> </w:t>
      </w:r>
      <w:r>
        <w:rPr>
          <w:b/>
          <w:bCs/>
          <w:color w:val="0D0D0D"/>
          <w:sz w:val="24"/>
          <w:u w:val="single"/>
        </w:rPr>
        <w:t>202</w:t>
      </w:r>
      <w:r>
        <w:rPr>
          <w:rFonts w:hint="eastAsia"/>
          <w:b/>
          <w:bCs/>
          <w:color w:val="0D0D0D"/>
          <w:sz w:val="24"/>
          <w:u w:val="single"/>
          <w:lang w:val="en-US" w:eastAsia="zh-CN"/>
        </w:rPr>
        <w:t>2</w:t>
      </w:r>
      <w:r>
        <w:rPr>
          <w:b/>
          <w:bCs/>
          <w:color w:val="0D0D0D"/>
          <w:sz w:val="24"/>
          <w:u w:val="single"/>
        </w:rPr>
        <w:t>年</w:t>
      </w:r>
      <w:r>
        <w:rPr>
          <w:rFonts w:hint="eastAsia"/>
          <w:b/>
          <w:bCs/>
          <w:color w:val="0D0D0D"/>
          <w:sz w:val="24"/>
          <w:u w:val="single"/>
          <w:lang w:val="en-US" w:eastAsia="zh-CN"/>
        </w:rPr>
        <w:t>12</w:t>
      </w:r>
      <w:r>
        <w:rPr>
          <w:b/>
          <w:bCs/>
          <w:color w:val="0D0D0D"/>
          <w:sz w:val="24"/>
          <w:u w:val="single"/>
        </w:rPr>
        <w:t>月3</w:t>
      </w:r>
      <w:r>
        <w:rPr>
          <w:rFonts w:hint="eastAsia"/>
          <w:b/>
          <w:bCs/>
          <w:color w:val="0D0D0D"/>
          <w:sz w:val="24"/>
          <w:u w:val="single"/>
          <w:lang w:val="en-US" w:eastAsia="zh-CN"/>
        </w:rPr>
        <w:t>0</w:t>
      </w:r>
      <w:r>
        <w:rPr>
          <w:b/>
          <w:bCs/>
          <w:color w:val="0D0D0D"/>
          <w:sz w:val="24"/>
          <w:u w:val="single"/>
        </w:rPr>
        <w:t>日</w:t>
      </w:r>
      <w:r>
        <w:rPr>
          <w:color w:val="0D0D0D"/>
          <w:sz w:val="24"/>
        </w:rPr>
        <w:t>前通过电子邮件形式</w:t>
      </w:r>
      <w:r>
        <w:rPr>
          <w:color w:val="0D0D0D"/>
          <w:spacing w:val="4"/>
          <w:sz w:val="24"/>
        </w:rPr>
        <w:t>递交第三方评估机构（</w:t>
      </w:r>
      <w:r>
        <w:rPr>
          <w:color w:val="0D0D0D"/>
          <w:spacing w:val="2"/>
          <w:sz w:val="24"/>
        </w:rPr>
        <w:t>材料清单及要求见下载资料包</w:t>
      </w:r>
      <w:r>
        <w:rPr>
          <w:color w:val="0D0D0D"/>
          <w:spacing w:val="4"/>
          <w:sz w:val="24"/>
        </w:rPr>
        <w:t>），晚于材料提交时间递</w:t>
      </w:r>
      <w:r>
        <w:rPr>
          <w:color w:val="0D0D0D"/>
          <w:sz w:val="24"/>
        </w:rPr>
        <w:t>交视为放弃复评，将取消资格。</w:t>
      </w:r>
    </w:p>
    <w:p>
      <w:pPr>
        <w:pStyle w:val="7"/>
        <w:numPr>
          <w:ilvl w:val="0"/>
          <w:numId w:val="1"/>
        </w:numPr>
        <w:tabs>
          <w:tab w:val="left" w:pos="1172"/>
        </w:tabs>
        <w:spacing w:before="0" w:after="0" w:line="364" w:lineRule="auto"/>
        <w:ind w:left="120" w:right="117" w:firstLine="427"/>
        <w:jc w:val="both"/>
        <w:rPr>
          <w:sz w:val="24"/>
        </w:rPr>
      </w:pPr>
      <w:r>
        <w:rPr>
          <w:b/>
          <w:color w:val="0D0D0D"/>
          <w:spacing w:val="7"/>
          <w:sz w:val="24"/>
        </w:rPr>
        <w:t xml:space="preserve">初评 </w:t>
      </w:r>
      <w:r>
        <w:rPr>
          <w:color w:val="0D0D0D"/>
          <w:spacing w:val="4"/>
          <w:sz w:val="24"/>
        </w:rPr>
        <w:t>中国精协聘请第三方独立专业机构，对申请复评的孤独症服务</w:t>
      </w:r>
      <w:r>
        <w:rPr>
          <w:color w:val="0D0D0D"/>
          <w:sz w:val="24"/>
        </w:rPr>
        <w:t>机构进行评估。</w:t>
      </w:r>
      <w:r>
        <w:rPr>
          <w:color w:val="0D0D0D"/>
          <w:spacing w:val="4"/>
          <w:sz w:val="24"/>
        </w:rPr>
        <w:t>第三方专业机构做出初评结果，结果提交中国精协进行审</w:t>
      </w:r>
      <w:r>
        <w:rPr>
          <w:color w:val="0D0D0D"/>
          <w:sz w:val="24"/>
        </w:rPr>
        <w:t>核。</w:t>
      </w:r>
    </w:p>
    <w:p>
      <w:pPr>
        <w:pStyle w:val="7"/>
        <w:numPr>
          <w:ilvl w:val="0"/>
          <w:numId w:val="1"/>
        </w:numPr>
        <w:tabs>
          <w:tab w:val="left" w:pos="1172"/>
        </w:tabs>
        <w:spacing w:before="0" w:after="0" w:line="364" w:lineRule="auto"/>
        <w:ind w:left="120" w:right="108" w:firstLine="427"/>
        <w:jc w:val="both"/>
        <w:rPr>
          <w:sz w:val="24"/>
        </w:rPr>
      </w:pPr>
      <w:r>
        <w:rPr>
          <w:b/>
          <w:color w:val="0D0D0D"/>
          <w:spacing w:val="4"/>
          <w:sz w:val="24"/>
        </w:rPr>
        <w:t xml:space="preserve">复评审核 </w:t>
      </w:r>
      <w:r>
        <w:rPr>
          <w:color w:val="0D0D0D"/>
          <w:spacing w:val="4"/>
          <w:sz w:val="24"/>
        </w:rPr>
        <w:t>中国精协组织召开评审会，结合第三方评估机构的评估意</w:t>
      </w:r>
      <w:r>
        <w:rPr>
          <w:color w:val="0D0D0D"/>
          <w:spacing w:val="1"/>
          <w:sz w:val="24"/>
        </w:rPr>
        <w:t>见，对初评结果进行复评审议。复评审议最终获选机构名单并公示无异议后上报中国残联。</w:t>
      </w:r>
    </w:p>
    <w:p>
      <w:pPr>
        <w:pStyle w:val="7"/>
        <w:numPr>
          <w:ilvl w:val="0"/>
          <w:numId w:val="1"/>
        </w:numPr>
        <w:tabs>
          <w:tab w:val="left" w:pos="1154"/>
        </w:tabs>
        <w:spacing w:before="0" w:after="0" w:line="240" w:lineRule="auto"/>
        <w:ind w:left="1154" w:right="0" w:hanging="606"/>
        <w:jc w:val="both"/>
        <w:rPr>
          <w:sz w:val="24"/>
        </w:rPr>
      </w:pPr>
      <w:r>
        <w:rPr>
          <w:b/>
          <w:color w:val="0D0D0D"/>
          <w:sz w:val="24"/>
        </w:rPr>
        <w:t xml:space="preserve">结果公示 </w:t>
      </w:r>
      <w:r>
        <w:rPr>
          <w:color w:val="0D0D0D"/>
          <w:spacing w:val="-3"/>
          <w:sz w:val="24"/>
        </w:rPr>
        <w:t xml:space="preserve">由中国精协在中国精协官网对评估结果进行公示，公示期 </w:t>
      </w:r>
      <w:r>
        <w:rPr>
          <w:color w:val="0D0D0D"/>
          <w:sz w:val="24"/>
        </w:rPr>
        <w:t>7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400" w:right="1680" w:bottom="280" w:left="1680" w:header="720" w:footer="720" w:gutter="0"/>
          <w:cols w:space="720" w:num="1"/>
        </w:sectPr>
      </w:pPr>
    </w:p>
    <w:p>
      <w:pPr>
        <w:pStyle w:val="3"/>
        <w:spacing w:before="43"/>
        <w:ind w:firstLine="0"/>
        <w:jc w:val="left"/>
      </w:pPr>
      <w:r>
        <w:rPr>
          <w:color w:val="0D0D0D"/>
        </w:rPr>
        <w:t>天。</w:t>
      </w:r>
    </w:p>
    <w:p>
      <w:pPr>
        <w:pStyle w:val="7"/>
        <w:numPr>
          <w:ilvl w:val="0"/>
          <w:numId w:val="1"/>
        </w:numPr>
        <w:tabs>
          <w:tab w:val="left" w:pos="1172"/>
        </w:tabs>
        <w:spacing w:before="158" w:after="0" w:line="364" w:lineRule="auto"/>
        <w:ind w:left="120" w:right="113" w:firstLine="427"/>
        <w:jc w:val="both"/>
        <w:rPr>
          <w:sz w:val="24"/>
        </w:rPr>
      </w:pPr>
      <w:r>
        <w:rPr>
          <w:b/>
          <w:color w:val="0D0D0D"/>
          <w:spacing w:val="7"/>
          <w:sz w:val="24"/>
        </w:rPr>
        <w:t xml:space="preserve">复核 </w:t>
      </w:r>
      <w:r>
        <w:rPr>
          <w:color w:val="0D0D0D"/>
          <w:spacing w:val="4"/>
          <w:sz w:val="24"/>
        </w:rPr>
        <w:t xml:space="preserve">在公示期内，申请复评的孤独症服务机构对结果有异议的，可向中国精协提出书面申请，中国精协在 </w:t>
      </w:r>
      <w:r>
        <w:rPr>
          <w:color w:val="0D0D0D"/>
          <w:sz w:val="24"/>
        </w:rPr>
        <w:t>7</w:t>
      </w:r>
      <w:r>
        <w:rPr>
          <w:color w:val="0D0D0D"/>
          <w:spacing w:val="3"/>
          <w:sz w:val="24"/>
        </w:rPr>
        <w:t xml:space="preserve"> 个工作日内进行复核并出具复核意见。</w:t>
      </w:r>
    </w:p>
    <w:p>
      <w:pPr>
        <w:pStyle w:val="7"/>
        <w:numPr>
          <w:ilvl w:val="0"/>
          <w:numId w:val="1"/>
        </w:numPr>
        <w:tabs>
          <w:tab w:val="left" w:pos="1283"/>
        </w:tabs>
        <w:spacing w:before="5" w:after="0" w:line="362" w:lineRule="auto"/>
        <w:ind w:left="120" w:right="119" w:firstLine="427"/>
        <w:jc w:val="both"/>
        <w:rPr>
          <w:sz w:val="24"/>
        </w:rPr>
      </w:pPr>
      <w:r>
        <w:rPr>
          <w:b/>
          <w:color w:val="0D0D0D"/>
          <w:spacing w:val="2"/>
          <w:sz w:val="24"/>
        </w:rPr>
        <w:t xml:space="preserve">公告 </w:t>
      </w:r>
      <w:r>
        <w:rPr>
          <w:color w:val="0D0D0D"/>
          <w:sz w:val="24"/>
        </w:rPr>
        <w:t>公示期满后，中国精协官网公布达标复评通过名单，复评未通过或未参加复评的机构撤销授牌。</w:t>
      </w:r>
    </w:p>
    <w:p>
      <w:pPr>
        <w:spacing w:before="8"/>
        <w:ind w:left="543" w:right="0" w:firstLine="0"/>
        <w:jc w:val="left"/>
        <w:rPr>
          <w:b/>
          <w:sz w:val="24"/>
        </w:rPr>
      </w:pPr>
      <w:r>
        <w:rPr>
          <w:b/>
          <w:color w:val="0D0D0D"/>
          <w:sz w:val="24"/>
        </w:rPr>
        <w:t>3、上交材料要求：(另见下载资料包)</w:t>
      </w:r>
    </w:p>
    <w:p>
      <w:pPr>
        <w:spacing w:before="158"/>
        <w:ind w:left="543" w:right="-689" w:rightChars="-313" w:firstLine="0"/>
        <w:jc w:val="left"/>
        <w:rPr>
          <w:rFonts w:hint="eastAsia" w:cs="仿宋"/>
          <w:b/>
          <w:bCs/>
          <w:color w:val="0D0D0D"/>
          <w:sz w:val="24"/>
          <w:szCs w:val="22"/>
          <w:u w:val="single"/>
          <w:lang w:val="zh-CN" w:eastAsia="zh-CN" w:bidi="zh-CN"/>
        </w:rPr>
      </w:pPr>
      <w:r>
        <w:rPr>
          <w:b/>
          <w:color w:val="0D0D0D"/>
          <w:sz w:val="24"/>
        </w:rPr>
        <w:t>4、复评材料提交截止时间</w:t>
      </w:r>
      <w:r>
        <w:rPr>
          <w:rFonts w:ascii="仿宋" w:hAnsi="仿宋" w:eastAsia="仿宋" w:cs="仿宋"/>
          <w:b/>
          <w:bCs/>
          <w:color w:val="0D0D0D"/>
          <w:sz w:val="24"/>
          <w:szCs w:val="22"/>
          <w:u w:val="single"/>
          <w:lang w:val="zh-CN" w:eastAsia="zh-CN" w:bidi="zh-CN"/>
        </w:rPr>
        <w:t>：202</w:t>
      </w:r>
      <w:r>
        <w:rPr>
          <w:rFonts w:hint="eastAsia" w:ascii="仿宋" w:hAnsi="仿宋" w:eastAsia="仿宋" w:cs="仿宋"/>
          <w:b/>
          <w:bCs/>
          <w:color w:val="0D0D0D"/>
          <w:sz w:val="24"/>
          <w:szCs w:val="22"/>
          <w:u w:val="single"/>
          <w:lang w:val="en-US" w:eastAsia="zh-CN" w:bidi="zh-CN"/>
        </w:rPr>
        <w:t>2</w:t>
      </w:r>
      <w:r>
        <w:rPr>
          <w:rFonts w:ascii="仿宋" w:hAnsi="仿宋" w:eastAsia="仿宋" w:cs="仿宋"/>
          <w:b/>
          <w:bCs/>
          <w:color w:val="0D0D0D"/>
          <w:sz w:val="24"/>
          <w:szCs w:val="22"/>
          <w:u w:val="single"/>
          <w:lang w:val="zh-CN" w:eastAsia="zh-CN" w:bidi="zh-CN"/>
        </w:rPr>
        <w:t>年</w:t>
      </w:r>
      <w:r>
        <w:rPr>
          <w:rFonts w:hint="eastAsia" w:ascii="仿宋" w:hAnsi="仿宋" w:eastAsia="仿宋" w:cs="仿宋"/>
          <w:b/>
          <w:bCs/>
          <w:color w:val="0D0D0D"/>
          <w:sz w:val="24"/>
          <w:szCs w:val="22"/>
          <w:u w:val="single"/>
          <w:lang w:val="en-US" w:eastAsia="zh-CN" w:bidi="zh-CN"/>
        </w:rPr>
        <w:t>12</w:t>
      </w:r>
      <w:r>
        <w:rPr>
          <w:rFonts w:ascii="仿宋" w:hAnsi="仿宋" w:eastAsia="仿宋" w:cs="仿宋"/>
          <w:b/>
          <w:bCs/>
          <w:color w:val="0D0D0D"/>
          <w:sz w:val="24"/>
          <w:szCs w:val="22"/>
          <w:u w:val="single"/>
          <w:lang w:val="zh-CN" w:eastAsia="zh-CN" w:bidi="zh-CN"/>
        </w:rPr>
        <w:t>月3</w:t>
      </w:r>
      <w:r>
        <w:rPr>
          <w:rFonts w:hint="eastAsia" w:ascii="仿宋" w:hAnsi="仿宋" w:eastAsia="仿宋" w:cs="仿宋"/>
          <w:b/>
          <w:bCs/>
          <w:color w:val="0D0D0D"/>
          <w:sz w:val="24"/>
          <w:szCs w:val="22"/>
          <w:u w:val="single"/>
          <w:lang w:val="en-US" w:eastAsia="zh-CN" w:bidi="zh-CN"/>
        </w:rPr>
        <w:t>0</w:t>
      </w:r>
      <w:r>
        <w:rPr>
          <w:rFonts w:ascii="仿宋" w:hAnsi="仿宋" w:eastAsia="仿宋" w:cs="仿宋"/>
          <w:b/>
          <w:bCs/>
          <w:color w:val="0D0D0D"/>
          <w:sz w:val="24"/>
          <w:szCs w:val="22"/>
          <w:u w:val="single"/>
          <w:lang w:val="zh-CN" w:eastAsia="zh-CN" w:bidi="zh-CN"/>
        </w:rPr>
        <w:t>日</w:t>
      </w:r>
    </w:p>
    <w:p>
      <w:pPr>
        <w:spacing w:before="158"/>
        <w:ind w:left="543" w:right="-689" w:rightChars="-313" w:firstLine="0"/>
        <w:jc w:val="left"/>
        <w:rPr>
          <w:rFonts w:hint="default"/>
          <w:sz w:val="24"/>
          <w:lang w:val="en-US"/>
        </w:rPr>
      </w:pPr>
      <w:r>
        <w:rPr>
          <w:rFonts w:hint="eastAsia" w:cs="仿宋"/>
          <w:b/>
          <w:bCs/>
          <w:color w:val="0D0D0D"/>
          <w:sz w:val="24"/>
          <w:szCs w:val="22"/>
          <w:u w:val="none"/>
          <w:lang w:val="en-US" w:eastAsia="zh-CN" w:bidi="zh-CN"/>
        </w:rPr>
        <w:t>5、资料提交邮箱：</w:t>
      </w:r>
      <w:r>
        <w:rPr>
          <w:rFonts w:hint="eastAsia" w:cs="仿宋"/>
          <w:b/>
          <w:bCs/>
          <w:color w:val="0D0D0D"/>
          <w:sz w:val="24"/>
          <w:szCs w:val="22"/>
          <w:u w:val="single"/>
          <w:lang w:val="en-US" w:eastAsia="zh-CN" w:bidi="zh-CN"/>
        </w:rPr>
        <w:t>ziqiangzilv2019@163.cm</w:t>
      </w:r>
    </w:p>
    <w:p>
      <w:pPr>
        <w:pStyle w:val="2"/>
        <w:ind w:left="543"/>
      </w:pPr>
      <w:r>
        <w:rPr>
          <w:rFonts w:hint="eastAsia"/>
          <w:lang w:val="en-US" w:eastAsia="zh-CN"/>
        </w:rPr>
        <w:t>6</w:t>
      </w:r>
      <w:r>
        <w:t>、联系方式</w:t>
      </w:r>
    </w:p>
    <w:p>
      <w:pPr>
        <w:pStyle w:val="7"/>
        <w:numPr>
          <w:ilvl w:val="0"/>
          <w:numId w:val="2"/>
        </w:numPr>
        <w:tabs>
          <w:tab w:val="left" w:pos="938"/>
        </w:tabs>
        <w:spacing w:before="159" w:after="0" w:line="367" w:lineRule="auto"/>
        <w:ind w:left="332" w:right="3995" w:firstLine="0"/>
        <w:jc w:val="left"/>
        <w:rPr>
          <w:sz w:val="24"/>
        </w:rPr>
      </w:pPr>
      <w:r>
        <w:rPr>
          <w:b/>
          <w:spacing w:val="-1"/>
          <w:sz w:val="24"/>
        </w:rPr>
        <w:t xml:space="preserve">中国精协监督机构联系人及方式： </w:t>
      </w:r>
    </w:p>
    <w:p>
      <w:pPr>
        <w:pStyle w:val="7"/>
        <w:numPr>
          <w:numId w:val="0"/>
        </w:numPr>
        <w:tabs>
          <w:tab w:val="left" w:pos="938"/>
        </w:tabs>
        <w:spacing w:before="159" w:after="0" w:line="367" w:lineRule="auto"/>
        <w:ind w:left="332" w:leftChars="0" w:right="3995" w:rightChars="0"/>
        <w:jc w:val="left"/>
        <w:rPr>
          <w:sz w:val="24"/>
        </w:rPr>
      </w:pPr>
      <w:bookmarkStart w:id="0" w:name="_GoBack"/>
      <w:bookmarkEnd w:id="0"/>
      <w:r>
        <w:rPr>
          <w:b/>
          <w:spacing w:val="2"/>
          <w:sz w:val="24"/>
        </w:rPr>
        <w:t>联系人：</w:t>
      </w:r>
      <w:r>
        <w:rPr>
          <w:sz w:val="24"/>
        </w:rPr>
        <w:t>郭德华</w:t>
      </w:r>
    </w:p>
    <w:p>
      <w:pPr>
        <w:pStyle w:val="3"/>
        <w:spacing w:line="303" w:lineRule="exact"/>
        <w:ind w:left="332" w:firstLine="0"/>
        <w:jc w:val="left"/>
      </w:pPr>
      <w:r>
        <w:rPr>
          <w:b/>
        </w:rPr>
        <w:t>联系方式：</w:t>
      </w:r>
      <w:r>
        <w:t>010-66580049，18612658098</w:t>
      </w:r>
    </w:p>
    <w:p>
      <w:pPr>
        <w:pStyle w:val="3"/>
        <w:spacing w:before="163" w:line="364" w:lineRule="auto"/>
        <w:ind w:left="332" w:right="1482" w:firstLine="0"/>
        <w:jc w:val="left"/>
      </w:pPr>
      <w:r>
        <w:rPr>
          <w:b/>
          <w:spacing w:val="1"/>
        </w:rPr>
        <w:t>通讯地址：</w:t>
      </w:r>
      <w:r>
        <w:rPr>
          <w:spacing w:val="-6"/>
        </w:rPr>
        <w:t xml:space="preserve">北京市西城区西直门南小街 </w:t>
      </w:r>
      <w:r>
        <w:t>186</w:t>
      </w:r>
      <w:r>
        <w:rPr>
          <w:spacing w:val="-35"/>
        </w:rPr>
        <w:t xml:space="preserve"> 号</w:t>
      </w:r>
      <w:r>
        <w:t xml:space="preserve">（邮编：100034） </w:t>
      </w:r>
      <w:r>
        <w:rPr>
          <w:b/>
          <w:spacing w:val="1"/>
        </w:rPr>
        <w:t>邮箱：</w:t>
      </w:r>
      <w:r>
        <w:fldChar w:fldCharType="begin"/>
      </w:r>
      <w:r>
        <w:instrText xml:space="preserve"> HYPERLINK "mailto:cappdr@163.com" \h </w:instrText>
      </w:r>
      <w:r>
        <w:fldChar w:fldCharType="separate"/>
      </w:r>
      <w:r>
        <w:t>cappdr@163.com</w:t>
      </w:r>
      <w:r>
        <w:fldChar w:fldCharType="end"/>
      </w:r>
    </w:p>
    <w:p>
      <w:pPr>
        <w:pStyle w:val="2"/>
        <w:numPr>
          <w:ilvl w:val="0"/>
          <w:numId w:val="2"/>
        </w:numPr>
        <w:tabs>
          <w:tab w:val="left" w:pos="938"/>
        </w:tabs>
        <w:spacing w:before="1" w:after="0" w:line="364" w:lineRule="auto"/>
        <w:ind w:left="332" w:right="3876" w:firstLine="0"/>
        <w:jc w:val="left"/>
        <w:rPr>
          <w:b w:val="0"/>
        </w:rPr>
      </w:pPr>
      <w:r>
        <w:t xml:space="preserve">第三方评估机构联系人及方式： </w:t>
      </w:r>
    </w:p>
    <w:p>
      <w:pPr>
        <w:pStyle w:val="2"/>
        <w:numPr>
          <w:ilvl w:val="0"/>
          <w:numId w:val="0"/>
        </w:numPr>
        <w:tabs>
          <w:tab w:val="left" w:pos="938"/>
        </w:tabs>
        <w:spacing w:before="1" w:after="0" w:line="364" w:lineRule="auto"/>
        <w:ind w:left="332" w:leftChars="0" w:right="3876" w:rightChars="0"/>
        <w:jc w:val="left"/>
        <w:rPr>
          <w:spacing w:val="-1"/>
        </w:rPr>
      </w:pPr>
      <w:r>
        <w:rPr>
          <w:rFonts w:hint="eastAsia"/>
          <w:spacing w:val="-1"/>
          <w:lang w:val="en-US" w:eastAsia="zh-CN"/>
        </w:rPr>
        <w:t>北</w:t>
      </w:r>
      <w:r>
        <w:rPr>
          <w:spacing w:val="-1"/>
        </w:rPr>
        <w:t>京市倍能公益组织能力建设与评估中心</w:t>
      </w:r>
    </w:p>
    <w:p>
      <w:pPr>
        <w:pStyle w:val="7"/>
        <w:numPr>
          <w:ilvl w:val="0"/>
          <w:numId w:val="2"/>
        </w:numPr>
        <w:tabs>
          <w:tab w:val="left" w:pos="938"/>
        </w:tabs>
        <w:spacing w:before="159" w:after="0" w:line="367" w:lineRule="auto"/>
        <w:ind w:left="332" w:right="3995" w:firstLine="0"/>
        <w:jc w:val="left"/>
        <w:rPr>
          <w:b/>
          <w:spacing w:val="2"/>
          <w:sz w:val="24"/>
        </w:rPr>
      </w:pPr>
      <w:r>
        <w:rPr>
          <w:rFonts w:hint="eastAsia"/>
          <w:b/>
          <w:spacing w:val="2"/>
          <w:sz w:val="24"/>
          <w:lang w:val="en-US" w:eastAsia="zh-CN"/>
        </w:rPr>
        <w:t>联</w:t>
      </w:r>
      <w:r>
        <w:rPr>
          <w:b/>
          <w:spacing w:val="2"/>
          <w:sz w:val="24"/>
        </w:rPr>
        <w:t>系人：</w:t>
      </w:r>
      <w:r>
        <w:rPr>
          <w:b w:val="0"/>
          <w:bCs/>
          <w:spacing w:val="2"/>
          <w:sz w:val="24"/>
        </w:rPr>
        <w:t>付珺优</w:t>
      </w:r>
    </w:p>
    <w:p>
      <w:pPr>
        <w:pStyle w:val="7"/>
        <w:numPr>
          <w:ilvl w:val="0"/>
          <w:numId w:val="2"/>
        </w:numPr>
        <w:tabs>
          <w:tab w:val="left" w:pos="938"/>
        </w:tabs>
        <w:spacing w:before="159" w:after="0" w:line="367" w:lineRule="auto"/>
        <w:ind w:left="332" w:right="-30" w:rightChars="0" w:firstLine="0"/>
        <w:jc w:val="left"/>
        <w:rPr>
          <w:b/>
          <w:spacing w:val="2"/>
          <w:sz w:val="24"/>
        </w:rPr>
      </w:pPr>
      <w:r>
        <w:rPr>
          <w:b/>
          <w:spacing w:val="2"/>
          <w:sz w:val="24"/>
        </w:rPr>
        <w:t>联系方式：</w:t>
      </w:r>
      <w:r>
        <w:rPr>
          <w:b w:val="0"/>
          <w:bCs/>
          <w:spacing w:val="2"/>
          <w:sz w:val="24"/>
        </w:rPr>
        <w:t>010-5</w:t>
      </w:r>
      <w:r>
        <w:rPr>
          <w:rFonts w:hint="eastAsia"/>
          <w:b w:val="0"/>
          <w:bCs/>
          <w:spacing w:val="2"/>
          <w:sz w:val="24"/>
          <w:lang w:val="en-US" w:eastAsia="zh-CN"/>
        </w:rPr>
        <w:t>3325115</w:t>
      </w:r>
      <w:r>
        <w:rPr>
          <w:b w:val="0"/>
          <w:bCs/>
          <w:spacing w:val="2"/>
          <w:sz w:val="24"/>
        </w:rPr>
        <w:t xml:space="preserve"> ，13260028210</w:t>
      </w:r>
    </w:p>
    <w:p>
      <w:pPr>
        <w:pStyle w:val="7"/>
        <w:numPr>
          <w:ilvl w:val="0"/>
          <w:numId w:val="2"/>
        </w:numPr>
        <w:tabs>
          <w:tab w:val="left" w:pos="938"/>
        </w:tabs>
        <w:spacing w:before="159" w:after="0" w:line="367" w:lineRule="auto"/>
        <w:ind w:left="332" w:right="-30" w:rightChars="0" w:firstLine="0"/>
        <w:jc w:val="left"/>
        <w:rPr>
          <w:rFonts w:hint="eastAsia"/>
          <w:b w:val="0"/>
          <w:bCs/>
          <w:spacing w:val="2"/>
          <w:sz w:val="24"/>
          <w:lang w:val="en-US" w:eastAsia="zh-CN"/>
        </w:rPr>
      </w:pPr>
      <w:r>
        <w:rPr>
          <w:rFonts w:hint="eastAsia"/>
          <w:b/>
          <w:spacing w:val="2"/>
          <w:sz w:val="24"/>
          <w:lang w:val="zh-CN" w:eastAsia="zh-CN"/>
        </w:rPr>
        <w:t>通讯地址：</w:t>
      </w:r>
      <w:r>
        <w:rPr>
          <w:rFonts w:hint="eastAsia"/>
          <w:b w:val="0"/>
          <w:bCs/>
          <w:spacing w:val="2"/>
          <w:sz w:val="24"/>
          <w:lang w:val="zh-CN" w:eastAsia="zh-CN"/>
        </w:rPr>
        <w:t>北京市朝阳区</w:t>
      </w:r>
      <w:r>
        <w:rPr>
          <w:rFonts w:hint="eastAsia"/>
          <w:b w:val="0"/>
          <w:bCs/>
          <w:spacing w:val="2"/>
          <w:sz w:val="24"/>
          <w:lang w:val="en-US" w:eastAsia="zh-CN"/>
        </w:rPr>
        <w:t>雅宝路12号华声国际大厦17层十七空间11室</w:t>
      </w:r>
    </w:p>
    <w:p>
      <w:pPr>
        <w:pStyle w:val="7"/>
        <w:numPr>
          <w:ilvl w:val="0"/>
          <w:numId w:val="2"/>
        </w:numPr>
        <w:tabs>
          <w:tab w:val="left" w:pos="938"/>
        </w:tabs>
        <w:spacing w:before="159" w:after="0" w:line="367" w:lineRule="auto"/>
        <w:ind w:left="332" w:right="1070" w:rightChars="0" w:firstLine="0"/>
        <w:jc w:val="left"/>
        <w:rPr>
          <w:rFonts w:hint="eastAsia"/>
          <w:b/>
          <w:spacing w:val="2"/>
          <w:sz w:val="24"/>
          <w:lang w:val="en-US" w:eastAsia="zh-CN"/>
        </w:rPr>
      </w:pPr>
      <w:r>
        <w:rPr>
          <w:rFonts w:hint="eastAsia"/>
          <w:b/>
          <w:spacing w:val="2"/>
          <w:sz w:val="24"/>
          <w:lang w:val="en-US" w:eastAsia="zh-CN"/>
        </w:rPr>
        <w:t>电子邮箱地址：</w:t>
      </w:r>
      <w:r>
        <w:rPr>
          <w:rFonts w:hint="eastAsia"/>
          <w:b w:val="0"/>
          <w:bCs/>
          <w:spacing w:val="2"/>
          <w:sz w:val="24"/>
          <w:lang w:val="zh-CN" w:eastAsia="zh-CN"/>
        </w:rPr>
        <w:fldChar w:fldCharType="begin"/>
      </w:r>
      <w:r>
        <w:rPr>
          <w:rFonts w:hint="eastAsia"/>
          <w:b w:val="0"/>
          <w:bCs/>
          <w:spacing w:val="2"/>
          <w:sz w:val="24"/>
          <w:lang w:val="zh-CN" w:eastAsia="zh-CN"/>
        </w:rPr>
        <w:instrText xml:space="preserve"> HYPERLINK "mailto:fujunyou@cbac.org.cn" \h </w:instrText>
      </w:r>
      <w:r>
        <w:rPr>
          <w:rFonts w:hint="eastAsia"/>
          <w:b w:val="0"/>
          <w:bCs/>
          <w:spacing w:val="2"/>
          <w:sz w:val="24"/>
          <w:lang w:val="zh-CN" w:eastAsia="zh-CN"/>
        </w:rPr>
        <w:fldChar w:fldCharType="separate"/>
      </w:r>
      <w:r>
        <w:rPr>
          <w:rFonts w:hint="eastAsia"/>
          <w:b w:val="0"/>
          <w:bCs/>
          <w:spacing w:val="2"/>
          <w:sz w:val="24"/>
          <w:lang w:val="zh-CN" w:eastAsia="zh-CN"/>
        </w:rPr>
        <w:t>fujunyou@cbac.org.cn</w:t>
      </w:r>
      <w:r>
        <w:rPr>
          <w:rFonts w:hint="eastAsia"/>
          <w:b w:val="0"/>
          <w:bCs/>
          <w:spacing w:val="2"/>
          <w:sz w:val="24"/>
          <w:lang w:val="zh-CN" w:eastAsia="zh-CN"/>
        </w:rPr>
        <w:fldChar w:fldCharType="end"/>
      </w:r>
    </w:p>
    <w:p>
      <w:pPr>
        <w:spacing w:before="158" w:line="367" w:lineRule="auto"/>
        <w:ind w:left="332" w:right="108" w:firstLine="0"/>
        <w:jc w:val="left"/>
        <w:rPr>
          <w:rFonts w:hint="default" w:ascii="仿宋" w:hAnsi="仿宋" w:eastAsia="仿宋" w:cs="仿宋"/>
          <w:spacing w:val="-6"/>
          <w:sz w:val="24"/>
          <w:szCs w:val="24"/>
          <w:lang w:val="en-US" w:eastAsia="zh-CN" w:bidi="zh-CN"/>
        </w:rPr>
      </w:pPr>
    </w:p>
    <w:sectPr>
      <w:pgSz w:w="11910" w:h="16840"/>
      <w:pgMar w:top="1460" w:right="121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332" w:hanging="606"/>
        <w:jc w:val="left"/>
      </w:pPr>
      <w:rPr>
        <w:rFonts w:hint="default" w:ascii="仿宋" w:hAnsi="仿宋" w:eastAsia="仿宋" w:cs="仿宋"/>
        <w:b/>
        <w:bCs/>
        <w:spacing w:val="-15"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0" w:hanging="60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0" w:hanging="60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1" w:hanging="60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21" w:hanging="60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60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62" w:hanging="60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82" w:hanging="60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03" w:hanging="606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120" w:hanging="624"/>
        <w:jc w:val="left"/>
      </w:pPr>
      <w:rPr>
        <w:rFonts w:hint="default" w:ascii="仿宋" w:hAnsi="仿宋" w:eastAsia="仿宋" w:cs="仿宋"/>
        <w:b/>
        <w:bCs/>
        <w:color w:val="0D0D0D"/>
        <w:spacing w:val="4"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2" w:hanging="6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04" w:hanging="6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47" w:hanging="6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89" w:hanging="6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32" w:hanging="6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74" w:hanging="6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16" w:hanging="6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59" w:hanging="624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jg3MTg2OGQ2ODVlYjg3YWU4MmQxMjI1NDFlOGQ2ZjYifQ=="/>
  </w:docVars>
  <w:rsids>
    <w:rsidRoot w:val="00000000"/>
    <w:rsid w:val="1D482061"/>
    <w:rsid w:val="7B470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63"/>
      <w:ind w:left="332"/>
      <w:outlineLvl w:val="1"/>
    </w:pPr>
    <w:rPr>
      <w:rFonts w:ascii="仿宋" w:hAnsi="仿宋" w:eastAsia="仿宋" w:cs="仿宋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 w:firstLine="427"/>
      <w:jc w:val="both"/>
    </w:pPr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20" w:right="117" w:firstLine="427"/>
      <w:jc w:val="both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886</Words>
  <Characters>982</Characters>
  <TotalTime>10</TotalTime>
  <ScaleCrop>false</ScaleCrop>
  <LinksUpToDate>false</LinksUpToDate>
  <CharactersWithSpaces>1013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2021-08-11T07:19:00Z</dcterms:created>
  <dc:creator>sit smiling</dc:creator>
  <cp:lastModifiedBy>北京倍能</cp:lastModifiedBy>
  <dcterms:modified xsi:type="dcterms:W3CDTF">2022-09-28T01:47:34Z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2021-08-11T00:00:00Z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0A6BBB4E8DBA46F5943E010A057A68D5</vt:lpwstr>
  </property>
</Properties>
</file>